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3C" w:rsidRDefault="0082763C" w:rsidP="00FF104D">
      <w:pPr>
        <w:pStyle w:val="Titel"/>
      </w:pPr>
      <w:bookmarkStart w:id="0" w:name="_GoBack"/>
      <w:bookmarkEnd w:id="0"/>
      <w:r>
        <w:t>Parameter für Gärrestbestimmung:</w:t>
      </w:r>
    </w:p>
    <w:p w:rsidR="00DC3E72" w:rsidRDefault="00DC3E72" w:rsidP="00C23836"/>
    <w:sdt>
      <w:sdtPr>
        <w:rPr>
          <w:rFonts w:ascii="Arial" w:eastAsiaTheme="minorHAnsi" w:hAnsi="Arial" w:cstheme="minorBidi"/>
          <w:b w:val="0"/>
          <w:bCs w:val="0"/>
          <w:color w:val="auto"/>
          <w:sz w:val="20"/>
          <w:szCs w:val="22"/>
        </w:rPr>
        <w:id w:val="14281723"/>
        <w:docPartObj>
          <w:docPartGallery w:val="Table of Contents"/>
          <w:docPartUnique/>
        </w:docPartObj>
      </w:sdtPr>
      <w:sdtEndPr/>
      <w:sdtContent>
        <w:p w:rsidR="009D0F1D" w:rsidRDefault="009D0F1D">
          <w:pPr>
            <w:pStyle w:val="Inhaltsverzeichnisberschrift"/>
          </w:pPr>
          <w:r>
            <w:t>Inhalt</w:t>
          </w:r>
        </w:p>
        <w:p w:rsidR="00192D48" w:rsidRDefault="00DB7413">
          <w:pPr>
            <w:pStyle w:val="Verzeichnis1"/>
            <w:tabs>
              <w:tab w:val="right" w:leader="dot" w:pos="9062"/>
            </w:tabs>
            <w:rPr>
              <w:noProof/>
              <w:lang w:eastAsia="de-DE"/>
            </w:rPr>
          </w:pPr>
          <w:r>
            <w:fldChar w:fldCharType="begin"/>
          </w:r>
          <w:r w:rsidR="009D0F1D">
            <w:instrText xml:space="preserve"> TOC \o "1-3" \h \z \u </w:instrText>
          </w:r>
          <w:r>
            <w:fldChar w:fldCharType="separate"/>
          </w:r>
          <w:hyperlink w:anchor="_Toc404595192" w:history="1">
            <w:r w:rsidR="00192D48" w:rsidRPr="00DA513A">
              <w:rPr>
                <w:rStyle w:val="Hyperlink"/>
                <w:noProof/>
              </w:rPr>
              <w:t>Chemischer Sauerstoffbedarf(CSB)in gCSB/kg</w:t>
            </w:r>
            <w:r w:rsidR="00192D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1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193" w:history="1">
            <w:r w:rsidR="00192D48" w:rsidRPr="00DA513A">
              <w:rPr>
                <w:rStyle w:val="Hyperlink"/>
                <w:noProof/>
              </w:rPr>
              <w:t>Gesamtstickstoffgehalt(Kjeldahl-Stickstoff) TKN in g/kg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_Toc404595193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2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1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194" w:history="1">
            <w:r w:rsidR="00192D48" w:rsidRPr="00DA513A">
              <w:rPr>
                <w:rStyle w:val="Hyperlink"/>
                <w:noProof/>
              </w:rPr>
              <w:t>Trockensubstanzgehalt, (TS) in %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_Toc404595194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2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1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195" w:history="1">
            <w:r w:rsidR="00192D48" w:rsidRPr="00DA513A">
              <w:rPr>
                <w:rStyle w:val="Hyperlink"/>
                <w:noProof/>
              </w:rPr>
              <w:t>Organische Trockensubstanz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_Toc404595195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2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1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196" w:history="1">
            <w:r w:rsidR="00192D48" w:rsidRPr="00DA513A">
              <w:rPr>
                <w:rStyle w:val="Hyperlink"/>
                <w:noProof/>
              </w:rPr>
              <w:t>Summenparameter für Ionen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_Toc404595196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2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197" w:history="1">
            <w:r w:rsidR="00192D48" w:rsidRPr="00DA513A">
              <w:rPr>
                <w:rStyle w:val="Hyperlink"/>
                <w:noProof/>
              </w:rPr>
              <w:t>pH-Wert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_Toc404595197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2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198" w:history="1">
            <w:r w:rsidR="00192D48" w:rsidRPr="00DA513A">
              <w:rPr>
                <w:rStyle w:val="Hyperlink"/>
                <w:noProof/>
              </w:rPr>
              <w:t xml:space="preserve">Leitfähigkeit in </w:t>
            </w:r>
            <w:r w:rsidR="00192D48" w:rsidRPr="00DA513A">
              <w:rPr>
                <w:rStyle w:val="Hyperlink"/>
                <w:rFonts w:cs="Arial"/>
                <w:noProof/>
              </w:rPr>
              <w:t>µ</w:t>
            </w:r>
            <w:r w:rsidR="00192D48" w:rsidRPr="00DA513A">
              <w:rPr>
                <w:rStyle w:val="Hyperlink"/>
                <w:noProof/>
              </w:rPr>
              <w:t>S/cm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_Toc404595198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2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199" w:history="1">
            <w:r w:rsidR="00192D48" w:rsidRPr="00DA513A">
              <w:rPr>
                <w:rStyle w:val="Hyperlink"/>
                <w:noProof/>
              </w:rPr>
              <w:t>Wasserhärte in °dH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_Toc404595199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2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1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00" w:history="1">
            <w:r w:rsidR="00192D48" w:rsidRPr="00DA513A">
              <w:rPr>
                <w:rStyle w:val="Hyperlink"/>
                <w:noProof/>
              </w:rPr>
              <w:t>Einzelparameter für Ionen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_Toc404595200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3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01" w:history="1">
            <w:r w:rsidR="00192D48" w:rsidRPr="00DA513A">
              <w:rPr>
                <w:rStyle w:val="Hyperlink"/>
                <w:noProof/>
              </w:rPr>
              <w:t>Ammonium-Stickstoffgehalt NH</w:t>
            </w:r>
            <w:r w:rsidR="00192D48" w:rsidRPr="00DA513A">
              <w:rPr>
                <w:rStyle w:val="Hyperlink"/>
                <w:noProof/>
                <w:vertAlign w:val="subscript"/>
              </w:rPr>
              <w:t>4</w:t>
            </w:r>
            <w:r w:rsidR="00192D48" w:rsidRPr="00DA513A">
              <w:rPr>
                <w:rStyle w:val="Hyperlink"/>
                <w:noProof/>
                <w:vertAlign w:val="superscript"/>
              </w:rPr>
              <w:t>+</w:t>
            </w:r>
            <w:r w:rsidR="00192D48" w:rsidRPr="00DA513A">
              <w:rPr>
                <w:rStyle w:val="Hyperlink"/>
                <w:noProof/>
              </w:rPr>
              <w:t>- in g/kg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_Toc404595201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3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02" w:history="1">
            <w:r w:rsidR="00192D48" w:rsidRPr="00DA513A">
              <w:rPr>
                <w:rStyle w:val="Hyperlink"/>
                <w:noProof/>
              </w:rPr>
              <w:t>Chlorid Cl</w:t>
            </w:r>
            <w:r w:rsidR="00192D48" w:rsidRPr="00DA513A">
              <w:rPr>
                <w:rStyle w:val="Hyperlink"/>
                <w:noProof/>
                <w:vertAlign w:val="superscript"/>
              </w:rPr>
              <w:t xml:space="preserve">- </w:t>
            </w:r>
            <w:r w:rsidR="00192D48" w:rsidRPr="00DA513A">
              <w:rPr>
                <w:rStyle w:val="Hyperlink"/>
                <w:noProof/>
              </w:rPr>
              <w:t>in mg/l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_Toc404595202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3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03" w:history="1">
            <w:r w:rsidR="00192D48" w:rsidRPr="00DA513A">
              <w:rPr>
                <w:rStyle w:val="Hyperlink"/>
                <w:noProof/>
              </w:rPr>
              <w:t>Phosphat PO</w:t>
            </w:r>
            <w:r w:rsidR="00192D48" w:rsidRPr="00DA513A">
              <w:rPr>
                <w:rStyle w:val="Hyperlink"/>
                <w:noProof/>
                <w:vertAlign w:val="subscript"/>
              </w:rPr>
              <w:t>4</w:t>
            </w:r>
            <w:r w:rsidR="00192D48" w:rsidRPr="00DA513A">
              <w:rPr>
                <w:rStyle w:val="Hyperlink"/>
                <w:noProof/>
                <w:vertAlign w:val="superscript"/>
              </w:rPr>
              <w:t>3-</w:t>
            </w:r>
            <w:r w:rsidR="00192D48" w:rsidRPr="00DA513A">
              <w:rPr>
                <w:rStyle w:val="Hyperlink"/>
                <w:noProof/>
              </w:rPr>
              <w:t xml:space="preserve"> in mg/l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_Toc404595203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3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04" w:history="1">
            <w:r w:rsidR="00192D48" w:rsidRPr="00DA513A">
              <w:rPr>
                <w:rStyle w:val="Hyperlink"/>
                <w:noProof/>
              </w:rPr>
              <w:t>Sulfat SO</w:t>
            </w:r>
            <w:r w:rsidR="00192D48" w:rsidRPr="00DA513A">
              <w:rPr>
                <w:rStyle w:val="Hyperlink"/>
                <w:noProof/>
                <w:vertAlign w:val="subscript"/>
              </w:rPr>
              <w:t>4</w:t>
            </w:r>
            <w:r w:rsidR="00192D48" w:rsidRPr="00DA513A">
              <w:rPr>
                <w:rStyle w:val="Hyperlink"/>
                <w:noProof/>
                <w:vertAlign w:val="superscript"/>
              </w:rPr>
              <w:t>2-</w:t>
            </w:r>
            <w:r w:rsidR="00192D48" w:rsidRPr="00DA513A">
              <w:rPr>
                <w:rStyle w:val="Hyperlink"/>
                <w:noProof/>
              </w:rPr>
              <w:t xml:space="preserve"> in mg/l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_Toc404595204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3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05" w:history="1">
            <w:r w:rsidR="00192D48" w:rsidRPr="00DA513A">
              <w:rPr>
                <w:rStyle w:val="Hyperlink"/>
                <w:noProof/>
              </w:rPr>
              <w:t>Kalium K</w:t>
            </w:r>
            <w:r w:rsidR="00192D48" w:rsidRPr="00DA513A">
              <w:rPr>
                <w:rStyle w:val="Hyperlink"/>
                <w:noProof/>
                <w:vertAlign w:val="superscript"/>
              </w:rPr>
              <w:t>+</w:t>
            </w:r>
            <w:r w:rsidR="00192D48" w:rsidRPr="00DA513A">
              <w:rPr>
                <w:rStyle w:val="Hyperlink"/>
                <w:noProof/>
              </w:rPr>
              <w:t xml:space="preserve"> in mg/kg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_Toc404595205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3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06" w:history="1">
            <w:r w:rsidR="00192D48" w:rsidRPr="00DA513A">
              <w:rPr>
                <w:rStyle w:val="Hyperlink"/>
                <w:noProof/>
              </w:rPr>
              <w:t>Natrium Na</w:t>
            </w:r>
            <w:r w:rsidR="00192D48" w:rsidRPr="00DA513A">
              <w:rPr>
                <w:rStyle w:val="Hyperlink"/>
                <w:noProof/>
                <w:vertAlign w:val="superscript"/>
              </w:rPr>
              <w:t>+</w:t>
            </w:r>
            <w:r w:rsidR="00192D48" w:rsidRPr="00DA513A">
              <w:rPr>
                <w:rStyle w:val="Hyperlink"/>
                <w:noProof/>
              </w:rPr>
              <w:t xml:space="preserve"> in mg/kg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_Toc404595206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3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07" w:history="1">
            <w:r w:rsidR="00192D48" w:rsidRPr="00DA513A">
              <w:rPr>
                <w:rStyle w:val="Hyperlink"/>
                <w:noProof/>
              </w:rPr>
              <w:t>Kalzium Ca</w:t>
            </w:r>
            <w:r w:rsidR="00192D48" w:rsidRPr="00DA513A">
              <w:rPr>
                <w:rStyle w:val="Hyperlink"/>
                <w:noProof/>
                <w:vertAlign w:val="superscript"/>
              </w:rPr>
              <w:t>2+</w:t>
            </w:r>
            <w:r w:rsidR="00192D48" w:rsidRPr="00DA513A">
              <w:rPr>
                <w:rStyle w:val="Hyperlink"/>
                <w:noProof/>
              </w:rPr>
              <w:t xml:space="preserve"> in mg/kg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_Toc404595207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3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2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08" w:history="1">
            <w:r w:rsidR="00192D48" w:rsidRPr="00DA513A">
              <w:rPr>
                <w:rStyle w:val="Hyperlink"/>
                <w:noProof/>
              </w:rPr>
              <w:t>Magnesium Mg</w:t>
            </w:r>
            <w:r w:rsidR="00192D48" w:rsidRPr="00DA513A">
              <w:rPr>
                <w:rStyle w:val="Hyperlink"/>
                <w:noProof/>
                <w:vertAlign w:val="superscript"/>
              </w:rPr>
              <w:t>2+</w:t>
            </w:r>
            <w:r w:rsidR="00192D48" w:rsidRPr="00DA513A">
              <w:rPr>
                <w:rStyle w:val="Hyperlink"/>
                <w:noProof/>
              </w:rPr>
              <w:t xml:space="preserve"> in mg/kg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_Toc404595208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3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1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09" w:history="1">
            <w:r w:rsidR="00192D48" w:rsidRPr="00DA513A">
              <w:rPr>
                <w:rStyle w:val="Hyperlink"/>
                <w:noProof/>
              </w:rPr>
              <w:t>Profil der freien flüchtigen Fettsäuren in mg/l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_Toc404595209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3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192D48" w:rsidRDefault="00D8681D">
          <w:pPr>
            <w:pStyle w:val="Verzeichnis1"/>
            <w:tabs>
              <w:tab w:val="right" w:leader="dot" w:pos="9062"/>
            </w:tabs>
            <w:rPr>
              <w:noProof/>
              <w:lang w:eastAsia="de-DE"/>
            </w:rPr>
          </w:pPr>
          <w:hyperlink w:anchor="_Toc404595210" w:history="1">
            <w:r w:rsidR="00192D48" w:rsidRPr="00DA513A">
              <w:rPr>
                <w:rStyle w:val="Hyperlink"/>
                <w:noProof/>
              </w:rPr>
              <w:t>FOS/TAC-Wert</w:t>
            </w:r>
            <w:r w:rsidR="00192D48">
              <w:rPr>
                <w:noProof/>
                <w:webHidden/>
              </w:rPr>
              <w:tab/>
            </w:r>
            <w:r w:rsidR="00DB7413">
              <w:rPr>
                <w:noProof/>
                <w:webHidden/>
              </w:rPr>
              <w:fldChar w:fldCharType="begin"/>
            </w:r>
            <w:r w:rsidR="00192D48">
              <w:rPr>
                <w:noProof/>
                <w:webHidden/>
              </w:rPr>
              <w:instrText xml:space="preserve"> PAGEREF _Toc404595210 \h </w:instrText>
            </w:r>
            <w:r w:rsidR="00DB7413">
              <w:rPr>
                <w:noProof/>
                <w:webHidden/>
              </w:rPr>
            </w:r>
            <w:r w:rsidR="00DB7413">
              <w:rPr>
                <w:noProof/>
                <w:webHidden/>
              </w:rPr>
              <w:fldChar w:fldCharType="separate"/>
            </w:r>
            <w:r w:rsidR="00192D48">
              <w:rPr>
                <w:noProof/>
                <w:webHidden/>
              </w:rPr>
              <w:t>4</w:t>
            </w:r>
            <w:r w:rsidR="00DB7413">
              <w:rPr>
                <w:noProof/>
                <w:webHidden/>
              </w:rPr>
              <w:fldChar w:fldCharType="end"/>
            </w:r>
          </w:hyperlink>
        </w:p>
        <w:p w:rsidR="009D0F1D" w:rsidRDefault="00DB7413">
          <w:r>
            <w:fldChar w:fldCharType="end"/>
          </w:r>
        </w:p>
      </w:sdtContent>
    </w:sdt>
    <w:p w:rsidR="009D0F1D" w:rsidRDefault="009D0F1D">
      <w:r>
        <w:br w:type="page"/>
      </w:r>
    </w:p>
    <w:p w:rsidR="00FF104D" w:rsidRPr="00FF104D" w:rsidRDefault="00FF104D" w:rsidP="00FF104D">
      <w:pPr>
        <w:pStyle w:val="KeinLeerraum"/>
      </w:pPr>
    </w:p>
    <w:p w:rsidR="00DC3E72" w:rsidRPr="0082763C" w:rsidRDefault="00DC3E72" w:rsidP="00FF104D">
      <w:pPr>
        <w:pStyle w:val="berschrift1"/>
      </w:pPr>
      <w:bookmarkStart w:id="1" w:name="_Toc404595192"/>
      <w:r w:rsidRPr="0082763C">
        <w:t>Chem</w:t>
      </w:r>
      <w:r>
        <w:t>ischer Sauerstoffbedarf(CSB)in gCSB/kg</w:t>
      </w:r>
      <w:bookmarkEnd w:id="1"/>
    </w:p>
    <w:p w:rsidR="00DC3E72" w:rsidRDefault="00DC3E72" w:rsidP="00DC3E72">
      <w:pPr>
        <w:pStyle w:val="KeinLeerraum"/>
      </w:pPr>
      <w:r w:rsidRPr="0082763C">
        <w:t>Maß für den Gehalt an oxidierbaren Verbindungen im Substrat.</w:t>
      </w:r>
    </w:p>
    <w:p w:rsidR="00DC3E72" w:rsidRPr="0082763C" w:rsidRDefault="00D21EE4" w:rsidP="00DC3E72">
      <w:pPr>
        <w:pStyle w:val="KeinLeerraum"/>
      </w:pPr>
      <w:r>
        <w:t>Wichtig um die Abbaubarkeit der Verbindungen abzuschätzen und für die Einhaltung von Einleitungsgrenzwerten von Abwasser. Ein hoher Gehalt bedeutet, dass viel Sauerstoff für den Abbau notwendig ist.</w:t>
      </w:r>
    </w:p>
    <w:p w:rsidR="00DC3E72" w:rsidRDefault="00DC3E72" w:rsidP="00DC3E72">
      <w:pPr>
        <w:pStyle w:val="KeinLeerraum"/>
      </w:pPr>
    </w:p>
    <w:p w:rsidR="00DC3E72" w:rsidRPr="00C23836" w:rsidRDefault="00DC3E72" w:rsidP="00FF104D">
      <w:pPr>
        <w:pStyle w:val="berschrift1"/>
      </w:pPr>
      <w:bookmarkStart w:id="2" w:name="_Toc404595193"/>
      <w:r w:rsidRPr="00C23836">
        <w:t>Gesamtstickstoffgehalt(Kjeldahl-Stickstoff)</w:t>
      </w:r>
      <w:r>
        <w:t xml:space="preserve"> TKN in g/kg</w:t>
      </w:r>
      <w:bookmarkEnd w:id="2"/>
    </w:p>
    <w:p w:rsidR="00DC3E72" w:rsidRPr="00C23836" w:rsidRDefault="00DC3E72" w:rsidP="00DC3E72">
      <w:pPr>
        <w:autoSpaceDE w:val="0"/>
        <w:autoSpaceDN w:val="0"/>
        <w:adjustRightInd w:val="0"/>
        <w:spacing w:after="0" w:line="240" w:lineRule="auto"/>
      </w:pPr>
      <w:r w:rsidRPr="00C23836">
        <w:t>Der Gesamtstickstoffgehalt ist die Summe des in anorganischen und</w:t>
      </w:r>
      <w:r>
        <w:t xml:space="preserve"> </w:t>
      </w:r>
      <w:r w:rsidRPr="00C23836">
        <w:t xml:space="preserve">organischen </w:t>
      </w:r>
      <w:r>
        <w:t>S</w:t>
      </w:r>
      <w:r w:rsidRPr="00C23836">
        <w:t>tickstoffverbindun</w:t>
      </w:r>
      <w:r>
        <w:t>gen enthaltenen Stickstoffs (siehe</w:t>
      </w:r>
      <w:r w:rsidRPr="00C23836">
        <w:t xml:space="preserve"> DIN EN 25663).</w:t>
      </w:r>
      <w:r w:rsidR="00D21EE4">
        <w:t xml:space="preserve"> </w:t>
      </w:r>
    </w:p>
    <w:p w:rsidR="00DC3E72" w:rsidRDefault="00DC3E72" w:rsidP="00DC3E72">
      <w:pPr>
        <w:pStyle w:val="KeinLeerraum"/>
      </w:pPr>
    </w:p>
    <w:p w:rsidR="00FF104D" w:rsidRPr="0082763C" w:rsidRDefault="00FF104D" w:rsidP="009D0F1D">
      <w:pPr>
        <w:pStyle w:val="berschrift1"/>
      </w:pPr>
      <w:bookmarkStart w:id="3" w:name="_Toc404595194"/>
      <w:r w:rsidRPr="0082763C">
        <w:t xml:space="preserve">Trockensubstanzgehalt (TS) </w:t>
      </w:r>
      <w:r>
        <w:t>i</w:t>
      </w:r>
      <w:r w:rsidRPr="0082763C">
        <w:t xml:space="preserve">n </w:t>
      </w:r>
      <w:r>
        <w:t>%</w:t>
      </w:r>
      <w:bookmarkEnd w:id="3"/>
    </w:p>
    <w:p w:rsidR="00FF104D" w:rsidRDefault="00FF104D" w:rsidP="00FF104D">
      <w:pPr>
        <w:autoSpaceDE w:val="0"/>
        <w:autoSpaceDN w:val="0"/>
        <w:adjustRightInd w:val="0"/>
        <w:spacing w:after="0" w:line="240" w:lineRule="auto"/>
      </w:pPr>
      <w:r w:rsidRPr="0082763C">
        <w:t>Gehalt an Substanzen, die bei einer thermischen Wasserentfernung</w:t>
      </w:r>
      <w:r>
        <w:t xml:space="preserve"> </w:t>
      </w:r>
      <w:r w:rsidRPr="0082763C">
        <w:t>übrig bleiben, (bei Trocknung bei 105 °C). Neben Wasser werden ggf. auch andere flüchtige</w:t>
      </w:r>
      <w:r>
        <w:t xml:space="preserve"> </w:t>
      </w:r>
      <w:r w:rsidRPr="0082763C">
        <w:t>Bestandteile (z. B. flüchtige organische Säuren) ausgetrieben.</w:t>
      </w:r>
      <w:r>
        <w:t xml:space="preserve"> Der Parameter gibt an, wie viel Trockenmasse enthalten ist. Je mehr Trockenmasse desto höher muss die Polymerdosierung sein.</w:t>
      </w:r>
    </w:p>
    <w:p w:rsidR="00FF104D" w:rsidRDefault="00FF104D" w:rsidP="00FF104D">
      <w:pPr>
        <w:pStyle w:val="KeinLeerraum"/>
      </w:pPr>
    </w:p>
    <w:p w:rsidR="00FF104D" w:rsidRDefault="00FF104D" w:rsidP="009D0F1D">
      <w:pPr>
        <w:pStyle w:val="berschrift1"/>
      </w:pPr>
      <w:bookmarkStart w:id="4" w:name="_Toc404595195"/>
      <w:r>
        <w:t>Organische Trockensubstanz</w:t>
      </w:r>
      <w:bookmarkEnd w:id="4"/>
    </w:p>
    <w:p w:rsidR="00FF104D" w:rsidRDefault="00FF104D" w:rsidP="00FF104D">
      <w:r>
        <w:t xml:space="preserve">Die </w:t>
      </w:r>
      <w:r w:rsidRPr="00FF104D">
        <w:rPr>
          <w:bCs/>
        </w:rPr>
        <w:t>organische Trockensubstanz</w:t>
      </w:r>
      <w:r>
        <w:t xml:space="preserve"> (oTS) ist der Anteil der </w:t>
      </w:r>
      <w:r w:rsidRPr="00DC3E72">
        <w:t>organischen Bestandteile</w:t>
      </w:r>
      <w:r>
        <w:t xml:space="preserve"> eines Stoffes, nach vollständigem Entzug von Wasser und aller mineralischen</w:t>
      </w:r>
      <w:r w:rsidRPr="00DC3E72">
        <w:t xml:space="preserve"> Bestandteile</w:t>
      </w:r>
      <w:r>
        <w:t xml:space="preserve">. </w:t>
      </w:r>
    </w:p>
    <w:p w:rsidR="00FF104D" w:rsidRPr="00DC3E72" w:rsidRDefault="00FF104D" w:rsidP="00DC3E72">
      <w:pPr>
        <w:pStyle w:val="KeinLeerraum"/>
      </w:pPr>
    </w:p>
    <w:p w:rsidR="0082763C" w:rsidRPr="0082763C" w:rsidRDefault="00DC3E72" w:rsidP="009D0F1D">
      <w:pPr>
        <w:pStyle w:val="berschrift1"/>
      </w:pPr>
      <w:bookmarkStart w:id="5" w:name="_Toc404595196"/>
      <w:r>
        <w:t>Summenparameter für Ionen</w:t>
      </w:r>
      <w:bookmarkEnd w:id="5"/>
    </w:p>
    <w:p w:rsidR="00C23836" w:rsidRDefault="0082763C" w:rsidP="009D0F1D">
      <w:pPr>
        <w:pStyle w:val="berschrift2"/>
      </w:pPr>
      <w:bookmarkStart w:id="6" w:name="_Toc404595197"/>
      <w:r>
        <w:t>pH-Wert</w:t>
      </w:r>
      <w:bookmarkEnd w:id="6"/>
    </w:p>
    <w:p w:rsidR="007E7AD7" w:rsidRDefault="00D84640" w:rsidP="00D84640">
      <w:pPr>
        <w:pStyle w:val="KeinLeerraum"/>
      </w:pPr>
      <w:r w:rsidRPr="007E7AD7">
        <w:t>Der pH-Wert</w:t>
      </w:r>
      <w:r>
        <w:t xml:space="preserve"> ist ein Maß für den </w:t>
      </w:r>
      <w:r w:rsidRPr="00D84640">
        <w:t>sauren</w:t>
      </w:r>
      <w:r>
        <w:t xml:space="preserve"> oder </w:t>
      </w:r>
      <w:r w:rsidRPr="00D84640">
        <w:t>basischen</w:t>
      </w:r>
      <w:r>
        <w:t xml:space="preserve"> Charakter einer wässrigen Lösung. Er ist der negative </w:t>
      </w:r>
      <w:r w:rsidRPr="00D84640">
        <w:t>dekadische Logarithmus</w:t>
      </w:r>
      <w:r>
        <w:t xml:space="preserve"> der </w:t>
      </w:r>
      <w:r w:rsidRPr="00D84640">
        <w:t>Wasserstoffionen</w:t>
      </w:r>
      <w:r>
        <w:t>-</w:t>
      </w:r>
      <w:r w:rsidRPr="00D84640">
        <w:t>Aktivität</w:t>
      </w:r>
      <w:r w:rsidR="007E7AD7">
        <w:t>.</w:t>
      </w:r>
      <w:r>
        <w:t xml:space="preserve"> </w:t>
      </w:r>
      <w:r w:rsidR="00D21EE4">
        <w:t>Deshalb i</w:t>
      </w:r>
      <w:r w:rsidR="007E7AD7">
        <w:t xml:space="preserve">st </w:t>
      </w:r>
      <w:r w:rsidR="00D21EE4">
        <w:t xml:space="preserve">er </w:t>
      </w:r>
      <w:r w:rsidR="007E7AD7">
        <w:t>ein Summen</w:t>
      </w:r>
      <w:r w:rsidR="00D21EE4">
        <w:t>parameter für Säuren und Basen und i</w:t>
      </w:r>
      <w:r w:rsidR="007E7AD7">
        <w:t xml:space="preserve">st leicht zu ermitteln. </w:t>
      </w:r>
    </w:p>
    <w:p w:rsidR="007E7AD7" w:rsidRPr="00C23836" w:rsidRDefault="007E7AD7" w:rsidP="00C23836">
      <w:pPr>
        <w:pStyle w:val="KeinLeerraum"/>
      </w:pPr>
    </w:p>
    <w:p w:rsidR="0082763C" w:rsidRDefault="00D84640" w:rsidP="009D0F1D">
      <w:pPr>
        <w:pStyle w:val="berschrift2"/>
      </w:pPr>
      <w:bookmarkStart w:id="7" w:name="_Toc404595198"/>
      <w:r>
        <w:t>Leitfähigkeit</w:t>
      </w:r>
      <w:r w:rsidR="00DC3E72">
        <w:t xml:space="preserve"> in </w:t>
      </w:r>
      <w:r w:rsidR="00DC3E72">
        <w:rPr>
          <w:rFonts w:cs="Arial"/>
        </w:rPr>
        <w:t>µ</w:t>
      </w:r>
      <w:r w:rsidR="00DC3E72">
        <w:t>S/cm</w:t>
      </w:r>
      <w:bookmarkEnd w:id="7"/>
    </w:p>
    <w:p w:rsidR="00D84640" w:rsidRDefault="007E7AD7" w:rsidP="00C23836">
      <w:pPr>
        <w:pStyle w:val="KeinLeerraum"/>
      </w:pPr>
      <w:r>
        <w:t xml:space="preserve">Ist </w:t>
      </w:r>
      <w:r w:rsidR="00D84640">
        <w:t xml:space="preserve">die Fähigkeit eines </w:t>
      </w:r>
      <w:r w:rsidR="00D84640" w:rsidRPr="00D84640">
        <w:t>Stoffes</w:t>
      </w:r>
      <w:r w:rsidR="00D84640">
        <w:t xml:space="preserve"> </w:t>
      </w:r>
      <w:r w:rsidR="00D84640" w:rsidRPr="00D84640">
        <w:t>elektrischen Strom</w:t>
      </w:r>
      <w:r w:rsidR="00D84640">
        <w:t xml:space="preserve"> zu leiten</w:t>
      </w:r>
      <w:r>
        <w:t xml:space="preserve">. </w:t>
      </w:r>
      <w:r w:rsidR="00D21EE4">
        <w:t>Dieser Wert d</w:t>
      </w:r>
      <w:r>
        <w:t xml:space="preserve">ient als </w:t>
      </w:r>
      <w:r w:rsidR="00D84640">
        <w:t>Summenparameter für Ionen</w:t>
      </w:r>
      <w:r>
        <w:t>, da die Leitfähigkeit der flüssigen Probe mit der Menge an Ionen steigt.</w:t>
      </w:r>
    </w:p>
    <w:p w:rsidR="00D84640" w:rsidRPr="00C23836" w:rsidRDefault="00D84640" w:rsidP="00C23836">
      <w:pPr>
        <w:pStyle w:val="KeinLeerraum"/>
      </w:pPr>
    </w:p>
    <w:p w:rsidR="00D84640" w:rsidRDefault="00D84640" w:rsidP="009D0F1D">
      <w:pPr>
        <w:pStyle w:val="berschrift2"/>
      </w:pPr>
      <w:bookmarkStart w:id="8" w:name="_Toc404595199"/>
      <w:r>
        <w:t>Wasserhärte</w:t>
      </w:r>
      <w:r w:rsidRPr="00D84640">
        <w:t xml:space="preserve"> </w:t>
      </w:r>
      <w:r w:rsidR="00DC3E72">
        <w:t>in °dH</w:t>
      </w:r>
      <w:bookmarkEnd w:id="8"/>
    </w:p>
    <w:p w:rsidR="00C23836" w:rsidRDefault="007E7AD7" w:rsidP="007E7AD7">
      <w:r>
        <w:t xml:space="preserve">Ist die </w:t>
      </w:r>
      <w:r w:rsidR="006B08A3" w:rsidRPr="006B08A3">
        <w:t>Äquivalentkonzentration</w:t>
      </w:r>
      <w:r w:rsidR="006B08A3">
        <w:t xml:space="preserve"> der im </w:t>
      </w:r>
      <w:r w:rsidR="006B08A3" w:rsidRPr="006B08A3">
        <w:t>Wasser</w:t>
      </w:r>
      <w:r w:rsidR="006B08A3">
        <w:t xml:space="preserve"> gelösten </w:t>
      </w:r>
      <w:r w:rsidR="006B08A3" w:rsidRPr="006B08A3">
        <w:t>Ionen</w:t>
      </w:r>
      <w:r w:rsidR="006B08A3">
        <w:t xml:space="preserve"> der </w:t>
      </w:r>
      <w:r w:rsidR="006B08A3" w:rsidRPr="006B08A3">
        <w:t>Erdalkalimetalle</w:t>
      </w:r>
      <w:r w:rsidR="001F5E1E">
        <w:t xml:space="preserve"> Mg und Ca</w:t>
      </w:r>
      <w:r>
        <w:t>. Dient als Summenparameter für gelöste Kationen. Kationische polymer</w:t>
      </w:r>
      <w:r w:rsidR="00D21EE4">
        <w:t>ische</w:t>
      </w:r>
      <w:r>
        <w:t xml:space="preserve"> Flockungsmittel</w:t>
      </w:r>
      <w:r w:rsidR="00D84640">
        <w:t xml:space="preserve"> funktionieren nur </w:t>
      </w:r>
      <w:r>
        <w:t xml:space="preserve">bei gewisser Wasserhärte, da die Kationen deren Wirkung mindert bzw. aufhebt. </w:t>
      </w:r>
      <w:r w:rsidR="00D21EE4">
        <w:t>Die Wasserhärte ist schwerer zu ermitteln, deshalb wu</w:t>
      </w:r>
      <w:r>
        <w:t>rde</w:t>
      </w:r>
      <w:r w:rsidR="00D21EE4">
        <w:t xml:space="preserve"> der Wert</w:t>
      </w:r>
      <w:r>
        <w:t xml:space="preserve"> aus de</w:t>
      </w:r>
      <w:r w:rsidR="00D21EE4">
        <w:t>n</w:t>
      </w:r>
      <w:r>
        <w:t xml:space="preserve"> Mg und Ca Analyseergebnissen gebildet. </w:t>
      </w:r>
    </w:p>
    <w:p w:rsidR="00D84640" w:rsidRDefault="00D84640" w:rsidP="00C23836">
      <w:pPr>
        <w:pStyle w:val="KeinLeerraum"/>
      </w:pPr>
    </w:p>
    <w:p w:rsidR="00DC3E72" w:rsidRDefault="00DC3E72" w:rsidP="009D0F1D">
      <w:pPr>
        <w:pStyle w:val="berschrift1"/>
      </w:pPr>
      <w:bookmarkStart w:id="9" w:name="_Toc404595200"/>
      <w:r>
        <w:lastRenderedPageBreak/>
        <w:t>Einzelparameter für Ionen</w:t>
      </w:r>
      <w:bookmarkEnd w:id="9"/>
    </w:p>
    <w:p w:rsidR="00DC3E72" w:rsidRPr="0082763C" w:rsidRDefault="00DC3E72" w:rsidP="00DC3E72">
      <w:pPr>
        <w:pStyle w:val="KeinLeerraum"/>
      </w:pPr>
    </w:p>
    <w:p w:rsidR="00DC3E72" w:rsidRPr="0082763C" w:rsidRDefault="00DC3E72" w:rsidP="009D0F1D">
      <w:pPr>
        <w:pStyle w:val="berschrift2"/>
      </w:pPr>
      <w:bookmarkStart w:id="10" w:name="_Toc404595201"/>
      <w:r w:rsidRPr="0082763C">
        <w:t>Ammonium-Stickstoffgehalt</w:t>
      </w:r>
      <w:r>
        <w:t xml:space="preserve"> </w:t>
      </w:r>
      <w:r w:rsidRPr="0082763C">
        <w:t>NH</w:t>
      </w:r>
      <w:r w:rsidRPr="00D21EE4">
        <w:rPr>
          <w:vertAlign w:val="subscript"/>
        </w:rPr>
        <w:t>4</w:t>
      </w:r>
      <w:r w:rsidRPr="00C23836">
        <w:rPr>
          <w:vertAlign w:val="superscript"/>
        </w:rPr>
        <w:t>+</w:t>
      </w:r>
      <w:r>
        <w:t xml:space="preserve"> in</w:t>
      </w:r>
      <w:r w:rsidR="004C124E">
        <w:t xml:space="preserve"> </w:t>
      </w:r>
      <w:r>
        <w:t>g/kg</w:t>
      </w:r>
      <w:bookmarkEnd w:id="10"/>
    </w:p>
    <w:p w:rsidR="00DC3E72" w:rsidRPr="0082763C" w:rsidRDefault="00DC3E72" w:rsidP="00DC3E72">
      <w:pPr>
        <w:autoSpaceDE w:val="0"/>
        <w:autoSpaceDN w:val="0"/>
        <w:adjustRightInd w:val="0"/>
        <w:spacing w:after="0" w:line="240" w:lineRule="auto"/>
      </w:pPr>
      <w:r w:rsidRPr="0082763C">
        <w:t>Der Ammonium-Stickstoffgehalt ist die Summe der in Form von NH</w:t>
      </w:r>
      <w:r w:rsidRPr="00D21EE4">
        <w:rPr>
          <w:vertAlign w:val="subscript"/>
        </w:rPr>
        <w:t>4</w:t>
      </w:r>
      <w:r w:rsidRPr="00C23836">
        <w:rPr>
          <w:vertAlign w:val="superscript"/>
        </w:rPr>
        <w:t>+</w:t>
      </w:r>
      <w:r w:rsidRPr="0082763C">
        <w:t>-Ionen und undissoziiertem NH</w:t>
      </w:r>
      <w:r w:rsidRPr="00D21EE4">
        <w:rPr>
          <w:vertAlign w:val="subscript"/>
        </w:rPr>
        <w:t>3</w:t>
      </w:r>
      <w:r w:rsidRPr="0082763C">
        <w:t xml:space="preserve"> vorliegenden Stickstoffverbindungen.</w:t>
      </w:r>
      <w:r w:rsidR="00D21EE4">
        <w:t xml:space="preserve"> Ammonium wird beim anaeroben Abbau von organischer Materie durch Bakterien in der Biogasanlage erzeugt. Dieser Parameter </w:t>
      </w:r>
      <w:r w:rsidR="004C124E">
        <w:t xml:space="preserve">ist </w:t>
      </w:r>
      <w:r w:rsidR="00D21EE4">
        <w:t xml:space="preserve">ein Grenzwert für die Einleitung von Abwässern. Ammonium ist giftig und kanzerogen. </w:t>
      </w:r>
      <w:r w:rsidR="00FD2C73">
        <w:t xml:space="preserve">Vermutungen legen nahe, dass hohe Ammonium-Gehalte die Wirkung von Polymeren einschränken. </w:t>
      </w:r>
    </w:p>
    <w:p w:rsidR="00DC3E72" w:rsidRPr="00DC3E72" w:rsidRDefault="00DC3E72" w:rsidP="00DC3E72">
      <w:pPr>
        <w:pStyle w:val="KeinLeerraum"/>
      </w:pPr>
    </w:p>
    <w:p w:rsidR="007E7AD7" w:rsidRPr="00FD2C73" w:rsidRDefault="00D84640" w:rsidP="009D0F1D">
      <w:pPr>
        <w:pStyle w:val="berschrift2"/>
      </w:pPr>
      <w:bookmarkStart w:id="11" w:name="_Toc404595202"/>
      <w:r w:rsidRPr="00FD2C73">
        <w:t>Chlorid</w:t>
      </w:r>
      <w:r w:rsidR="007E7AD7" w:rsidRPr="00FD2C73">
        <w:t xml:space="preserve"> Cl</w:t>
      </w:r>
      <w:r w:rsidR="007E7AD7" w:rsidRPr="00FD2C73">
        <w:rPr>
          <w:vertAlign w:val="superscript"/>
        </w:rPr>
        <w:t>-</w:t>
      </w:r>
      <w:r w:rsidR="00DC3E72" w:rsidRPr="00FD2C73">
        <w:rPr>
          <w:vertAlign w:val="superscript"/>
        </w:rPr>
        <w:t xml:space="preserve"> </w:t>
      </w:r>
      <w:r w:rsidR="00DC3E72" w:rsidRPr="00FD2C73">
        <w:t>in mg/l</w:t>
      </w:r>
      <w:bookmarkEnd w:id="11"/>
    </w:p>
    <w:p w:rsidR="001F5E1E" w:rsidRPr="00FD2C73" w:rsidRDefault="00FD2C73" w:rsidP="00C23836">
      <w:pPr>
        <w:pStyle w:val="KeinLeerraum"/>
      </w:pPr>
      <w:r>
        <w:t xml:space="preserve">Gibt an wie viele Chlorid Salze enthalten sind. Ebenfalls ein Grenzwert für die Einleitung von Abwässern. Steht ebenfalls in Verdacht bei hohen Gehalten die Wirkung der Polymere zu beeinflussen. </w:t>
      </w:r>
    </w:p>
    <w:p w:rsidR="00DC3E72" w:rsidRPr="00FD2C73" w:rsidRDefault="00DC3E72" w:rsidP="00C23836">
      <w:pPr>
        <w:pStyle w:val="KeinLeerraum"/>
      </w:pPr>
    </w:p>
    <w:p w:rsidR="0082763C" w:rsidRPr="00DC3E72" w:rsidRDefault="00D84640" w:rsidP="009D0F1D">
      <w:pPr>
        <w:pStyle w:val="berschrift2"/>
      </w:pPr>
      <w:bookmarkStart w:id="12" w:name="_Toc404595203"/>
      <w:r w:rsidRPr="00DC3E72">
        <w:t>Phosphat</w:t>
      </w:r>
      <w:r w:rsidR="007E7AD7" w:rsidRPr="00DC3E72">
        <w:t xml:space="preserve"> PO</w:t>
      </w:r>
      <w:r w:rsidR="007E7AD7" w:rsidRPr="00DC3E72">
        <w:rPr>
          <w:vertAlign w:val="subscript"/>
        </w:rPr>
        <w:t>4</w:t>
      </w:r>
      <w:r w:rsidR="007E7AD7" w:rsidRPr="00DC3E72">
        <w:rPr>
          <w:vertAlign w:val="superscript"/>
        </w:rPr>
        <w:t>3-</w:t>
      </w:r>
      <w:r w:rsidR="00DC3E72" w:rsidRPr="00DC3E72">
        <w:t xml:space="preserve"> in mg/l</w:t>
      </w:r>
      <w:bookmarkEnd w:id="12"/>
    </w:p>
    <w:p w:rsidR="001F5E1E" w:rsidRPr="00DC3E72" w:rsidRDefault="00FD2C73" w:rsidP="001F5E1E">
      <w:pPr>
        <w:pStyle w:val="KeinLeerraum"/>
      </w:pPr>
      <w:r>
        <w:t>Gibt an wie viele Phosphat-Verbindungen enthalten sind. Ist ein Parameter für den Nährstoffgehalt.</w:t>
      </w:r>
    </w:p>
    <w:p w:rsidR="00DC3E72" w:rsidRPr="00DC3E72" w:rsidRDefault="00DC3E72" w:rsidP="001F5E1E">
      <w:pPr>
        <w:pStyle w:val="KeinLeerraum"/>
      </w:pPr>
    </w:p>
    <w:p w:rsidR="00C23836" w:rsidRPr="007E7AD7" w:rsidRDefault="00D84640" w:rsidP="009D0F1D">
      <w:pPr>
        <w:pStyle w:val="berschrift2"/>
      </w:pPr>
      <w:bookmarkStart w:id="13" w:name="_Toc404595204"/>
      <w:r w:rsidRPr="007E7AD7">
        <w:t>Sulfat</w:t>
      </w:r>
      <w:r w:rsidR="007E7AD7" w:rsidRPr="007E7AD7">
        <w:t xml:space="preserve"> SO</w:t>
      </w:r>
      <w:r w:rsidR="007E7AD7" w:rsidRPr="007E7AD7">
        <w:rPr>
          <w:vertAlign w:val="subscript"/>
        </w:rPr>
        <w:t>4</w:t>
      </w:r>
      <w:r w:rsidR="007E7AD7" w:rsidRPr="007E7AD7">
        <w:rPr>
          <w:vertAlign w:val="superscript"/>
        </w:rPr>
        <w:t>2-</w:t>
      </w:r>
      <w:r w:rsidR="00DC3E72" w:rsidRPr="00DC3E72">
        <w:t xml:space="preserve"> in mg/l</w:t>
      </w:r>
      <w:bookmarkEnd w:id="13"/>
    </w:p>
    <w:p w:rsidR="00FD2C73" w:rsidRPr="00DC3E72" w:rsidRDefault="00FD2C73" w:rsidP="009D0F1D">
      <w:r>
        <w:t>Gibt an wie viele Sulfat-Verbindungen</w:t>
      </w:r>
      <w:r w:rsidR="004C124E">
        <w:t xml:space="preserve"> im Gärrest</w:t>
      </w:r>
      <w:r>
        <w:t xml:space="preserve"> enthalten sind. </w:t>
      </w:r>
    </w:p>
    <w:p w:rsidR="00DC3E72" w:rsidRPr="007E7AD7" w:rsidRDefault="00DC3E72" w:rsidP="00C23836">
      <w:pPr>
        <w:pStyle w:val="KeinLeerraum"/>
      </w:pPr>
    </w:p>
    <w:p w:rsidR="00C23836" w:rsidRPr="00DC3E72" w:rsidRDefault="0082763C" w:rsidP="009D0F1D">
      <w:pPr>
        <w:pStyle w:val="berschrift2"/>
        <w:rPr>
          <w:vertAlign w:val="superscript"/>
        </w:rPr>
      </w:pPr>
      <w:bookmarkStart w:id="14" w:name="_Toc404595205"/>
      <w:r>
        <w:t>Kalium</w:t>
      </w:r>
      <w:r w:rsidR="007E7AD7">
        <w:t xml:space="preserve"> K</w:t>
      </w:r>
      <w:r w:rsidR="007E7AD7" w:rsidRPr="007E7AD7">
        <w:rPr>
          <w:vertAlign w:val="superscript"/>
        </w:rPr>
        <w:t>+</w:t>
      </w:r>
      <w:r w:rsidR="00DC3E72" w:rsidRPr="00DC3E72">
        <w:t xml:space="preserve"> </w:t>
      </w:r>
      <w:r w:rsidR="00DC3E72">
        <w:t>in mg/kg</w:t>
      </w:r>
      <w:bookmarkEnd w:id="14"/>
    </w:p>
    <w:p w:rsidR="00DC3E72" w:rsidRDefault="00FD2C73" w:rsidP="00DC3E72">
      <w:pPr>
        <w:pStyle w:val="KeinLeerraum"/>
      </w:pPr>
      <w:r>
        <w:t xml:space="preserve">Gibt an wie viel Kalium enthalten ist. Ist ein Parameter für den Nährstoffgehalt. </w:t>
      </w:r>
    </w:p>
    <w:p w:rsidR="00FD2C73" w:rsidRDefault="00FD2C73" w:rsidP="00DC3E72">
      <w:pPr>
        <w:pStyle w:val="KeinLeerraum"/>
      </w:pPr>
      <w:r>
        <w:t>Wurde gemessen, da angenommen wurde, dass diese Ionen den Hauptteil der anorganischen Bestandteile der Trockensubstanz bilden.</w:t>
      </w:r>
    </w:p>
    <w:p w:rsidR="00FD2C73" w:rsidRPr="00DC3E72" w:rsidRDefault="00FD2C73" w:rsidP="00DC3E72">
      <w:pPr>
        <w:pStyle w:val="KeinLeerraum"/>
      </w:pPr>
    </w:p>
    <w:p w:rsidR="007E7AD7" w:rsidRDefault="007E7AD7" w:rsidP="009D0F1D">
      <w:pPr>
        <w:pStyle w:val="berschrift2"/>
        <w:rPr>
          <w:vertAlign w:val="superscript"/>
        </w:rPr>
      </w:pPr>
      <w:bookmarkStart w:id="15" w:name="_Toc404595206"/>
      <w:r>
        <w:t>Natrium Na</w:t>
      </w:r>
      <w:r w:rsidRPr="007E7AD7">
        <w:rPr>
          <w:vertAlign w:val="superscript"/>
        </w:rPr>
        <w:t>+</w:t>
      </w:r>
      <w:r w:rsidR="00DC3E72" w:rsidRPr="00DC3E72">
        <w:t xml:space="preserve"> </w:t>
      </w:r>
      <w:r w:rsidR="00DC3E72">
        <w:t>in mg/kg</w:t>
      </w:r>
      <w:bookmarkEnd w:id="15"/>
    </w:p>
    <w:p w:rsidR="00FD2C73" w:rsidRDefault="00FD2C73" w:rsidP="007E7AD7">
      <w:pPr>
        <w:pStyle w:val="KeinLeerraum"/>
      </w:pPr>
      <w:r>
        <w:t xml:space="preserve">Gibt an wie viel Natrium enthalten ist. </w:t>
      </w:r>
    </w:p>
    <w:p w:rsidR="003B7471" w:rsidRPr="00FD2C73" w:rsidRDefault="00FD2C73" w:rsidP="003B7471">
      <w:pPr>
        <w:pStyle w:val="KeinLeerraum"/>
      </w:pPr>
      <w:r>
        <w:t>Wurde gemessen, da angenommen wurde, dass diese Ionen den Hauptteil der anorganischen Bestandteile der Trockensubstanz bilden.</w:t>
      </w:r>
      <w:r w:rsidR="003B7471" w:rsidRPr="003B7471">
        <w:t xml:space="preserve"> </w:t>
      </w:r>
      <w:r w:rsidR="003B7471">
        <w:t xml:space="preserve">Steht ebenfalls in Verdacht mit Chlorid die Wirkung der Polymere zu beeinflussen. </w:t>
      </w:r>
    </w:p>
    <w:p w:rsidR="00FD2C73" w:rsidRDefault="00FD2C73" w:rsidP="00FD2C73">
      <w:pPr>
        <w:pStyle w:val="KeinLeerraum"/>
      </w:pPr>
    </w:p>
    <w:p w:rsidR="00FD2C73" w:rsidRDefault="00FD2C73" w:rsidP="007E7AD7">
      <w:pPr>
        <w:pStyle w:val="KeinLeerraum"/>
      </w:pPr>
    </w:p>
    <w:p w:rsidR="00DC3E72" w:rsidRPr="00DC3E72" w:rsidRDefault="00D84640" w:rsidP="009D0F1D">
      <w:pPr>
        <w:pStyle w:val="berschrift2"/>
        <w:rPr>
          <w:vertAlign w:val="superscript"/>
        </w:rPr>
      </w:pPr>
      <w:bookmarkStart w:id="16" w:name="_Toc404595207"/>
      <w:r>
        <w:t>Kalzium</w:t>
      </w:r>
      <w:r w:rsidR="007E7AD7">
        <w:t xml:space="preserve"> Ca</w:t>
      </w:r>
      <w:r w:rsidR="007E7AD7" w:rsidRPr="00FD2C73">
        <w:rPr>
          <w:vertAlign w:val="superscript"/>
        </w:rPr>
        <w:t>2</w:t>
      </w:r>
      <w:r w:rsidR="007E7AD7" w:rsidRPr="007E7AD7">
        <w:rPr>
          <w:vertAlign w:val="superscript"/>
        </w:rPr>
        <w:t>+</w:t>
      </w:r>
      <w:r w:rsidR="00DC3E72" w:rsidRPr="00DC3E72">
        <w:t xml:space="preserve"> </w:t>
      </w:r>
      <w:r w:rsidR="00DC3E72">
        <w:t>in mg/kg</w:t>
      </w:r>
      <w:bookmarkEnd w:id="16"/>
    </w:p>
    <w:p w:rsidR="007E7AD7" w:rsidRDefault="00FD2C73" w:rsidP="00D84640">
      <w:pPr>
        <w:pStyle w:val="KeinLeerraum"/>
      </w:pPr>
      <w:r>
        <w:t xml:space="preserve">Gibt an wie viel Kalzium enthalten ist. </w:t>
      </w:r>
    </w:p>
    <w:p w:rsidR="003B7471" w:rsidRPr="00FD2C73" w:rsidRDefault="00FD2C73" w:rsidP="003B7471">
      <w:pPr>
        <w:pStyle w:val="KeinLeerraum"/>
      </w:pPr>
      <w:r>
        <w:t>Wurde gemessen, da angenommen wurde, dass diese Ionen den Hauptteil der anorganischen Bestandteile der Trockensubstanz bilden.</w:t>
      </w:r>
      <w:r w:rsidR="003B7471" w:rsidRPr="003B7471">
        <w:t xml:space="preserve"> </w:t>
      </w:r>
      <w:r w:rsidR="003B7471">
        <w:t xml:space="preserve">Steht in Verdacht mit Chlorid die Wirkung der Polymere zu beeinflussen. </w:t>
      </w:r>
    </w:p>
    <w:p w:rsidR="00FD2C73" w:rsidRDefault="00FD2C73" w:rsidP="00D84640">
      <w:pPr>
        <w:pStyle w:val="KeinLeerraum"/>
      </w:pPr>
    </w:p>
    <w:p w:rsidR="00D84640" w:rsidRPr="00D84640" w:rsidRDefault="00D84640" w:rsidP="009D0F1D">
      <w:pPr>
        <w:pStyle w:val="berschrift2"/>
      </w:pPr>
      <w:bookmarkStart w:id="17" w:name="_Toc404595208"/>
      <w:r>
        <w:t>Magnesium</w:t>
      </w:r>
      <w:r w:rsidR="007E7AD7">
        <w:t xml:space="preserve"> Mg</w:t>
      </w:r>
      <w:r w:rsidR="007E7AD7" w:rsidRPr="007E7AD7">
        <w:rPr>
          <w:vertAlign w:val="superscript"/>
        </w:rPr>
        <w:t>2+</w:t>
      </w:r>
      <w:r w:rsidR="00DC3E72" w:rsidRPr="00DC3E72">
        <w:t xml:space="preserve"> </w:t>
      </w:r>
      <w:r w:rsidR="00DC3E72">
        <w:t>in mg/kg</w:t>
      </w:r>
      <w:bookmarkEnd w:id="17"/>
    </w:p>
    <w:p w:rsidR="00C23836" w:rsidRDefault="00FD2C73" w:rsidP="00C23836">
      <w:pPr>
        <w:pStyle w:val="KeinLeerraum"/>
      </w:pPr>
      <w:r>
        <w:t xml:space="preserve">Gibt an wie viel Magnesium enthalten ist. </w:t>
      </w:r>
    </w:p>
    <w:p w:rsidR="00FD2C73" w:rsidRDefault="00FD2C73" w:rsidP="00FD2C73">
      <w:pPr>
        <w:pStyle w:val="KeinLeerraum"/>
      </w:pPr>
      <w:r>
        <w:t>Wurde gemessen, da angenommen wurde, dass diese Ionen den Hauptteil der anorganischen Bestandteile der Trockensubstanz bilden.</w:t>
      </w:r>
    </w:p>
    <w:p w:rsidR="00DC3E72" w:rsidRPr="00C23836" w:rsidRDefault="00DC3E72" w:rsidP="00C23836">
      <w:pPr>
        <w:pStyle w:val="KeinLeerraum"/>
      </w:pPr>
    </w:p>
    <w:p w:rsidR="0082763C" w:rsidRPr="0082763C" w:rsidRDefault="00DC3E72" w:rsidP="009D0F1D">
      <w:pPr>
        <w:pStyle w:val="berschrift1"/>
      </w:pPr>
      <w:bookmarkStart w:id="18" w:name="_Toc404595209"/>
      <w:r>
        <w:t>Profil der f</w:t>
      </w:r>
      <w:r w:rsidR="00D84640">
        <w:t>reie</w:t>
      </w:r>
      <w:r>
        <w:t>n</w:t>
      </w:r>
      <w:r w:rsidR="00D84640">
        <w:t xml:space="preserve"> f</w:t>
      </w:r>
      <w:r w:rsidR="0082763C" w:rsidRPr="0082763C">
        <w:t>lüchtige</w:t>
      </w:r>
      <w:r>
        <w:t>n</w:t>
      </w:r>
      <w:r w:rsidR="0082763C" w:rsidRPr="0082763C">
        <w:t xml:space="preserve"> </w:t>
      </w:r>
      <w:r w:rsidR="00D84640">
        <w:t>Fettsäuren</w:t>
      </w:r>
      <w:r>
        <w:t xml:space="preserve"> </w:t>
      </w:r>
      <w:r w:rsidRPr="00DC3E72">
        <w:t>in mg/l</w:t>
      </w:r>
      <w:bookmarkEnd w:id="18"/>
    </w:p>
    <w:p w:rsidR="00FD2C73" w:rsidRPr="00FD2C73" w:rsidRDefault="0082763C" w:rsidP="00FD2C73">
      <w:r w:rsidRPr="0082763C">
        <w:t>Es handelt sich hier um wasserdampfflüchtige Fettsäuren (C</w:t>
      </w:r>
      <w:r w:rsidR="00D84640">
        <w:t>2</w:t>
      </w:r>
      <w:r w:rsidRPr="0082763C">
        <w:t xml:space="preserve"> bis C5).</w:t>
      </w:r>
      <w:r>
        <w:t xml:space="preserve"> </w:t>
      </w:r>
      <w:r w:rsidRPr="0082763C">
        <w:t>Der Gesamtgehalt an flüchtigen organischen Säuren berechnet sich als</w:t>
      </w:r>
      <w:r>
        <w:t xml:space="preserve"> </w:t>
      </w:r>
      <w:r w:rsidRPr="0082763C">
        <w:t>Essigsäureäquivalent in jeder Prozessstufe.</w:t>
      </w:r>
      <w:r w:rsidR="00FD2C73">
        <w:t xml:space="preserve"> </w:t>
      </w:r>
      <w:r w:rsidR="00FF104D">
        <w:t xml:space="preserve">Das Profil zeigt, </w:t>
      </w:r>
      <w:r w:rsidR="00FF104D">
        <w:lastRenderedPageBreak/>
        <w:t xml:space="preserve">welche Fettsäuren von den Bakterien im Betrieb gebildet werden. Sind die Werte niedriger ist der Gärrest mehr ausgegoren. </w:t>
      </w:r>
    </w:p>
    <w:p w:rsidR="00D84640" w:rsidRPr="00D84640" w:rsidRDefault="00D84640" w:rsidP="00FF104D">
      <w:pPr>
        <w:pStyle w:val="KeinLeerraum"/>
        <w:numPr>
          <w:ilvl w:val="0"/>
          <w:numId w:val="2"/>
        </w:numPr>
        <w:rPr>
          <w:lang w:val="en-GB"/>
        </w:rPr>
      </w:pPr>
      <w:r w:rsidRPr="00D84640">
        <w:rPr>
          <w:lang w:val="en-GB"/>
        </w:rPr>
        <w:t>Essigsäure</w:t>
      </w:r>
      <w:r w:rsidR="00FF104D">
        <w:rPr>
          <w:lang w:val="en-GB"/>
        </w:rPr>
        <w:t>( C2)</w:t>
      </w:r>
    </w:p>
    <w:p w:rsidR="00D84640" w:rsidRDefault="00D84640" w:rsidP="00FF104D">
      <w:pPr>
        <w:pStyle w:val="KeinLeerraum"/>
        <w:numPr>
          <w:ilvl w:val="0"/>
          <w:numId w:val="2"/>
        </w:numPr>
        <w:rPr>
          <w:lang w:val="en-GB"/>
        </w:rPr>
      </w:pPr>
      <w:r w:rsidRPr="00D84640">
        <w:rPr>
          <w:lang w:val="en-GB"/>
        </w:rPr>
        <w:t>Propionsäure</w:t>
      </w:r>
      <w:r w:rsidR="00FF104D">
        <w:rPr>
          <w:lang w:val="en-GB"/>
        </w:rPr>
        <w:t>( C3)</w:t>
      </w:r>
    </w:p>
    <w:p w:rsidR="00D84640" w:rsidRPr="00D84640" w:rsidRDefault="00D84640" w:rsidP="00FF104D">
      <w:pPr>
        <w:pStyle w:val="KeinLeerraum"/>
        <w:numPr>
          <w:ilvl w:val="0"/>
          <w:numId w:val="2"/>
        </w:numPr>
        <w:rPr>
          <w:lang w:val="en-GB"/>
        </w:rPr>
      </w:pPr>
      <w:r w:rsidRPr="00D84640">
        <w:rPr>
          <w:lang w:val="en-GB"/>
        </w:rPr>
        <w:t>Buttersäure</w:t>
      </w:r>
      <w:r w:rsidR="00FF104D">
        <w:rPr>
          <w:lang w:val="en-GB"/>
        </w:rPr>
        <w:t>( C4)</w:t>
      </w:r>
    </w:p>
    <w:p w:rsidR="00D84640" w:rsidRPr="00D84640" w:rsidRDefault="00D84640" w:rsidP="00FF104D">
      <w:pPr>
        <w:pStyle w:val="KeinLeerraum"/>
        <w:numPr>
          <w:ilvl w:val="0"/>
          <w:numId w:val="2"/>
        </w:numPr>
        <w:rPr>
          <w:lang w:val="en-GB"/>
        </w:rPr>
      </w:pPr>
      <w:r w:rsidRPr="00D84640">
        <w:rPr>
          <w:lang w:val="en-GB"/>
        </w:rPr>
        <w:t>Iso-Buttersäure</w:t>
      </w:r>
      <w:r w:rsidR="00FF104D">
        <w:rPr>
          <w:lang w:val="en-GB"/>
        </w:rPr>
        <w:t>( C4)</w:t>
      </w:r>
    </w:p>
    <w:p w:rsidR="00D84640" w:rsidRPr="00FF104D" w:rsidRDefault="00D84640" w:rsidP="00FF104D">
      <w:pPr>
        <w:pStyle w:val="Listenabsatz"/>
        <w:numPr>
          <w:ilvl w:val="0"/>
          <w:numId w:val="2"/>
        </w:numPr>
        <w:rPr>
          <w:lang w:val="en-GB"/>
        </w:rPr>
      </w:pPr>
      <w:r w:rsidRPr="00FF104D">
        <w:rPr>
          <w:lang w:val="en-GB"/>
        </w:rPr>
        <w:t>Valeriansäure</w:t>
      </w:r>
      <w:r w:rsidR="00FF104D">
        <w:rPr>
          <w:lang w:val="en-GB"/>
        </w:rPr>
        <w:t>( C5)</w:t>
      </w:r>
    </w:p>
    <w:p w:rsidR="00D84640" w:rsidRPr="007E7AD7" w:rsidRDefault="00D84640" w:rsidP="00FF104D">
      <w:pPr>
        <w:pStyle w:val="Listenabsatz"/>
        <w:numPr>
          <w:ilvl w:val="0"/>
          <w:numId w:val="2"/>
        </w:numPr>
      </w:pPr>
      <w:r w:rsidRPr="007E7AD7">
        <w:t>Iso-Valeriansäure</w:t>
      </w:r>
      <w:r w:rsidR="00FF104D">
        <w:rPr>
          <w:lang w:val="en-GB"/>
        </w:rPr>
        <w:t>( C5)</w:t>
      </w:r>
    </w:p>
    <w:p w:rsidR="00D84640" w:rsidRPr="007E7AD7" w:rsidRDefault="00D84640" w:rsidP="00D84640">
      <w:pPr>
        <w:pStyle w:val="KeinLeerraum"/>
      </w:pPr>
    </w:p>
    <w:p w:rsidR="0082763C" w:rsidRPr="007E7AD7" w:rsidRDefault="0082763C" w:rsidP="009D0F1D">
      <w:pPr>
        <w:pStyle w:val="berschrift1"/>
      </w:pPr>
      <w:bookmarkStart w:id="19" w:name="_Toc404595210"/>
      <w:r w:rsidRPr="007E7AD7">
        <w:t>FOS/TAC-Wert</w:t>
      </w:r>
      <w:bookmarkEnd w:id="19"/>
      <w:r w:rsidRPr="007E7AD7">
        <w:t xml:space="preserve"> </w:t>
      </w:r>
    </w:p>
    <w:p w:rsidR="0082763C" w:rsidRDefault="0082763C" w:rsidP="00FF104D">
      <w:r w:rsidRPr="0082763C">
        <w:t>Beim FOS/TAC-Wert handelt es sich um den Quotienten aus der durch</w:t>
      </w:r>
      <w:r>
        <w:t xml:space="preserve"> </w:t>
      </w:r>
      <w:r w:rsidRPr="0082763C">
        <w:t>Titration mit 0,1 N Schw</w:t>
      </w:r>
      <w:r w:rsidR="00FF104D">
        <w:t xml:space="preserve">efelsäure ermittelten Menge an </w:t>
      </w:r>
      <w:r w:rsidRPr="0082763C">
        <w:t>flüchtigen</w:t>
      </w:r>
      <w:r>
        <w:t xml:space="preserve"> </w:t>
      </w:r>
      <w:r w:rsidRPr="0082763C">
        <w:t>organischen Säuren (FOS), ausgedrückt als mg/l Essigsäure (HAc) und</w:t>
      </w:r>
      <w:r>
        <w:t xml:space="preserve"> </w:t>
      </w:r>
      <w:r w:rsidRPr="0082763C">
        <w:t>dem als mgCaCO</w:t>
      </w:r>
      <w:r w:rsidRPr="00FF104D">
        <w:rPr>
          <w:vertAlign w:val="subscript"/>
        </w:rPr>
        <w:t>3</w:t>
      </w:r>
      <w:r w:rsidRPr="0082763C">
        <w:t>/l dargestellten Säureverbrauch derselben Titration bis</w:t>
      </w:r>
      <w:r>
        <w:t xml:space="preserve"> </w:t>
      </w:r>
      <w:r w:rsidRPr="0082763C">
        <w:t>pH = 5 (TAC).</w:t>
      </w:r>
      <w:r>
        <w:t xml:space="preserve"> </w:t>
      </w:r>
      <w:r w:rsidRPr="0082763C">
        <w:t xml:space="preserve">Der FOS/TAC-Wert ist rein empirischer Natur und stellt einen </w:t>
      </w:r>
      <w:r>
        <w:t>F</w:t>
      </w:r>
      <w:r w:rsidRPr="0082763C">
        <w:t>rühwarnparameter</w:t>
      </w:r>
      <w:r>
        <w:t xml:space="preserve"> </w:t>
      </w:r>
      <w:r w:rsidRPr="0082763C">
        <w:t xml:space="preserve">zur Beurteilung der Prozessstabilität dar. </w:t>
      </w:r>
      <w:r w:rsidR="00FF104D">
        <w:t xml:space="preserve">Der Wert ist von Anlage zu Anlage unterschiedlich und sollte nicht als Vergleichswert für Anlagen herangezogen werden. Die Veränderung des Wertes zeigt eine Instabilität des Betriebes der Biogasanlage an. </w:t>
      </w:r>
      <w:r w:rsidRPr="0082763C">
        <w:t>Für einen stabilen</w:t>
      </w:r>
      <w:r>
        <w:t xml:space="preserve"> </w:t>
      </w:r>
      <w:r w:rsidRPr="0082763C">
        <w:t>Betrieb gilt ein Grenzwert von &lt; 0,3 als sicher. Bei reinen Nawaro-Anlagen</w:t>
      </w:r>
      <w:r>
        <w:t xml:space="preserve"> </w:t>
      </w:r>
      <w:r w:rsidRPr="0082763C">
        <w:t>wird bei FOS/TAC</w:t>
      </w:r>
      <w:r w:rsidR="00FF104D">
        <w:t xml:space="preserve"> </w:t>
      </w:r>
      <w:r w:rsidRPr="0082763C">
        <w:t>Werten zwischen 0,4 und 0,6 in der Regel noch ein</w:t>
      </w:r>
      <w:r>
        <w:t xml:space="preserve"> </w:t>
      </w:r>
      <w:r w:rsidRPr="0082763C">
        <w:t>stabiler Betrieb erreicht.</w:t>
      </w:r>
    </w:p>
    <w:p w:rsidR="0082763C" w:rsidRDefault="00D8681D" w:rsidP="0082763C">
      <w:pPr>
        <w:pStyle w:val="KeinLeerraum"/>
        <w:ind w:left="36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FOS</m:t>
              </m:r>
            </m:num>
            <m:den>
              <m:r>
                <w:rPr>
                  <w:rFonts w:ascii="Cambria Math" w:hAnsi="Cambria Math"/>
                </w:rPr>
                <m:t>TAC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Verbrauch B*166</m:t>
                      </m:r>
                    </m:e>
                  </m:d>
                  <m:r>
                    <w:rPr>
                      <w:rFonts w:ascii="Cambria Math" w:hAnsi="Cambria Math"/>
                    </w:rPr>
                    <m:t>-0,15</m:t>
                  </m:r>
                </m:e>
              </m:d>
              <m:r>
                <w:rPr>
                  <w:rFonts w:ascii="Cambria Math" w:hAnsi="Cambria Math"/>
                </w:rPr>
                <m:t>*500[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mg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  <m:r>
                <w:rPr>
                  <w:rFonts w:ascii="Cambria Math" w:hAnsi="Cambria Math"/>
                </w:rPr>
                <m:t>HAc]</m:t>
              </m:r>
            </m:num>
            <m:den>
              <m:r>
                <w:rPr>
                  <w:rFonts w:ascii="Cambria Math" w:hAnsi="Cambria Math"/>
                </w:rPr>
                <m:t>Verbrauch A*500[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mg</m:t>
                  </m:r>
                </m:num>
                <m:den>
                  <m:r>
                    <w:rPr>
                      <w:rFonts w:ascii="Cambria Math" w:hAnsi="Cambria Math"/>
                    </w:rPr>
                    <m:t>lCaC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]</m:t>
              </m:r>
            </m:den>
          </m:f>
        </m:oMath>
      </m:oMathPara>
    </w:p>
    <w:p w:rsidR="0082763C" w:rsidRDefault="0082763C" w:rsidP="009D0F1D"/>
    <w:p w:rsidR="00F52F68" w:rsidRDefault="00F52F68" w:rsidP="00F52F68">
      <w:pPr>
        <w:pStyle w:val="berschrift1"/>
      </w:pPr>
      <w:r>
        <w:t>Messmethoden</w:t>
      </w:r>
    </w:p>
    <w:p w:rsidR="00F52F68" w:rsidRDefault="00F52F68" w:rsidP="00F52F68">
      <w:pPr>
        <w:pStyle w:val="KeinLeerraum"/>
      </w:pPr>
    </w:p>
    <w:p w:rsidR="00F52F68" w:rsidRPr="00F52F68" w:rsidRDefault="00F52F68" w:rsidP="00F52F68">
      <w:pPr>
        <w:rPr>
          <w:lang w:val="de-AT"/>
        </w:rPr>
      </w:pPr>
      <w:r w:rsidRPr="00F52F68">
        <w:rPr>
          <w:lang w:val="de-AT"/>
        </w:rPr>
        <w:t>- pH-Wert: DIN 12 176</w:t>
      </w:r>
    </w:p>
    <w:p w:rsidR="00F52F68" w:rsidRPr="00F52F68" w:rsidRDefault="00F52F68" w:rsidP="00F52F68">
      <w:pPr>
        <w:rPr>
          <w:lang w:val="de-AT"/>
        </w:rPr>
      </w:pPr>
      <w:r w:rsidRPr="00F52F68">
        <w:rPr>
          <w:lang w:val="de-AT"/>
        </w:rPr>
        <w:t>- TS: DIN 38 414-Teil 2</w:t>
      </w:r>
    </w:p>
    <w:p w:rsidR="00F52F68" w:rsidRPr="00F52F68" w:rsidRDefault="00F52F68" w:rsidP="00F52F68">
      <w:pPr>
        <w:rPr>
          <w:lang w:val="de-AT"/>
        </w:rPr>
      </w:pPr>
      <w:r w:rsidRPr="00F52F68">
        <w:rPr>
          <w:lang w:val="de-AT"/>
        </w:rPr>
        <w:t>- oTS: DIN 38 414-Teil 3</w:t>
      </w:r>
    </w:p>
    <w:p w:rsidR="00F52F68" w:rsidRPr="00F52F68" w:rsidRDefault="00F52F68" w:rsidP="00F52F68">
      <w:pPr>
        <w:rPr>
          <w:lang w:val="de-AT"/>
        </w:rPr>
      </w:pPr>
      <w:r w:rsidRPr="00F52F68">
        <w:rPr>
          <w:lang w:val="de-AT"/>
        </w:rPr>
        <w:t>- Total Kjeldahl Nitrogen (TKN): DIN EN 25663</w:t>
      </w:r>
    </w:p>
    <w:p w:rsidR="00F52F68" w:rsidRPr="00F52F68" w:rsidRDefault="00F52F68" w:rsidP="00F52F68">
      <w:pPr>
        <w:rPr>
          <w:lang w:val="de-AT"/>
        </w:rPr>
      </w:pPr>
      <w:r w:rsidRPr="00F52F68">
        <w:rPr>
          <w:lang w:val="de-AT"/>
        </w:rPr>
        <w:t>- Ammonium Stickstoff: DIN 38 406-Teil 5</w:t>
      </w:r>
    </w:p>
    <w:p w:rsidR="00F52F68" w:rsidRPr="00F52F68" w:rsidRDefault="00F52F68" w:rsidP="00F52F68">
      <w:pPr>
        <w:rPr>
          <w:lang w:val="de-AT"/>
        </w:rPr>
      </w:pPr>
      <w:r w:rsidRPr="00F52F68">
        <w:rPr>
          <w:lang w:val="de-AT"/>
        </w:rPr>
        <w:t>- chemischer Sauerstoffbedarf: DIN 38409-41</w:t>
      </w:r>
    </w:p>
    <w:p w:rsidR="00F52F68" w:rsidRPr="00F52F68" w:rsidRDefault="00F52F68" w:rsidP="00F52F68">
      <w:pPr>
        <w:rPr>
          <w:lang w:val="de-AT"/>
        </w:rPr>
      </w:pPr>
      <w:r w:rsidRPr="00F52F68">
        <w:rPr>
          <w:lang w:val="de-AT"/>
        </w:rPr>
        <w:t>- freie flüchtige Fettsäuren (VFA): HPLC-System: Hewlett Packard Serie 1100, Detektor HP Brechungsindexdetektor (RI HP 1047A), HPLC Säule: Merck Polyspher (OA KC 300-7,8; 140020)</w:t>
      </w:r>
    </w:p>
    <w:p w:rsidR="00F52F68" w:rsidRPr="00F52F68" w:rsidRDefault="00F52F68" w:rsidP="00F52F68">
      <w:pPr>
        <w:rPr>
          <w:lang w:val="de-AT"/>
        </w:rPr>
      </w:pPr>
      <w:r w:rsidRPr="00F52F68">
        <w:rPr>
          <w:lang w:val="de-AT"/>
        </w:rPr>
        <w:t>- FOS/TAC: 2 Punkt Titration (pH 4,9 und pH 4,37), Metrohm 721 Net Titrino</w:t>
      </w:r>
    </w:p>
    <w:p w:rsidR="00F52F68" w:rsidRPr="00F52F68" w:rsidRDefault="00F52F68" w:rsidP="00F52F68">
      <w:pPr>
        <w:rPr>
          <w:lang w:val="de-AT"/>
        </w:rPr>
      </w:pPr>
      <w:r w:rsidRPr="00F52F68">
        <w:rPr>
          <w:lang w:val="de-AT"/>
        </w:rPr>
        <w:t>- ICP-OES: Inductive coupled plasma-optical emission spectrometry (Ca, K, Mg, Na)</w:t>
      </w:r>
    </w:p>
    <w:p w:rsidR="00F52F68" w:rsidRPr="00F52F68" w:rsidRDefault="00F52F68" w:rsidP="00F52F68">
      <w:pPr>
        <w:rPr>
          <w:lang w:val="de-AT"/>
        </w:rPr>
      </w:pPr>
      <w:r w:rsidRPr="00F52F68">
        <w:rPr>
          <w:lang w:val="de-AT"/>
        </w:rPr>
        <w:t>- IC: wird nachgeliefert, muss noch erfragen; auch noch die Bestimmungsgrenzen, Standards,..</w:t>
      </w:r>
    </w:p>
    <w:p w:rsidR="00F52F68" w:rsidRPr="00F52F68" w:rsidRDefault="00F52F68" w:rsidP="00F52F68">
      <w:pPr>
        <w:pStyle w:val="KeinLeerraum"/>
      </w:pPr>
    </w:p>
    <w:sectPr w:rsidR="00F52F68" w:rsidRPr="00F52F68" w:rsidSect="00A834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515"/>
    <w:multiLevelType w:val="hybridMultilevel"/>
    <w:tmpl w:val="0E9E4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0CB3"/>
    <w:multiLevelType w:val="hybridMultilevel"/>
    <w:tmpl w:val="A6104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3C"/>
    <w:rsid w:val="00141C7E"/>
    <w:rsid w:val="001708EF"/>
    <w:rsid w:val="00192D48"/>
    <w:rsid w:val="001F5E1E"/>
    <w:rsid w:val="003B7471"/>
    <w:rsid w:val="004227C2"/>
    <w:rsid w:val="004C124E"/>
    <w:rsid w:val="006743F2"/>
    <w:rsid w:val="006B08A3"/>
    <w:rsid w:val="007E7AD7"/>
    <w:rsid w:val="0082763C"/>
    <w:rsid w:val="009D0F1D"/>
    <w:rsid w:val="00A83483"/>
    <w:rsid w:val="00AD4D99"/>
    <w:rsid w:val="00C23836"/>
    <w:rsid w:val="00D21EE4"/>
    <w:rsid w:val="00D84640"/>
    <w:rsid w:val="00D8681D"/>
    <w:rsid w:val="00DB7413"/>
    <w:rsid w:val="00DC3E72"/>
    <w:rsid w:val="00DF69E2"/>
    <w:rsid w:val="00F11582"/>
    <w:rsid w:val="00F52F68"/>
    <w:rsid w:val="00FD2C73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B61B6-093D-42EA-B72C-1E9179E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AD4D99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0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7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708EF"/>
    <w:pPr>
      <w:spacing w:after="0" w:line="240" w:lineRule="auto"/>
    </w:pPr>
    <w:rPr>
      <w:rFonts w:ascii="Arial" w:hAnsi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7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63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464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C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F104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F104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1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F10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F10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0F1D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D0F1D"/>
    <w:pPr>
      <w:spacing w:after="100"/>
      <w:ind w:left="220"/>
    </w:pPr>
    <w:rPr>
      <w:rFonts w:asciiTheme="minorHAnsi" w:eastAsiaTheme="minorEastAsia" w:hAnsiTheme="minorHAnsi"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D0F1D"/>
    <w:pPr>
      <w:spacing w:after="100"/>
    </w:pPr>
    <w:rPr>
      <w:rFonts w:asciiTheme="minorHAnsi" w:eastAsiaTheme="minorEastAsia" w:hAnsiTheme="minorHAnsi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9D0F1D"/>
    <w:pPr>
      <w:spacing w:after="100"/>
      <w:ind w:left="440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D7ECF-75FA-438D-AEAD-CD530EA7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BDI Biodiesel AG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Fink</dc:creator>
  <cp:lastModifiedBy>Windows-Benutzer</cp:lastModifiedBy>
  <cp:revision>2</cp:revision>
  <dcterms:created xsi:type="dcterms:W3CDTF">2020-02-19T08:16:00Z</dcterms:created>
  <dcterms:modified xsi:type="dcterms:W3CDTF">2020-02-19T08:16:00Z</dcterms:modified>
</cp:coreProperties>
</file>